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A9133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لایحه تخلیه به جهت تغییر شغل</w:t>
      </w:r>
    </w:p>
    <w:p w14:paraId="20811903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نمونه لایحه در باب تغییر شغل (کاتب داود چشمی)</w:t>
      </w:r>
    </w:p>
    <w:p w14:paraId="13A94682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ریاست محترم شعبه 220 دادگاه مفتح</w:t>
      </w:r>
    </w:p>
    <w:p w14:paraId="6002A877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احترامآ ،عطف به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>پرونده کلاسه 086555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به وکالت از ناحیه خواندگان(اقایان</w:t>
      </w:r>
      <w:r w:rsidRPr="009D08D4">
        <w:rPr>
          <w:rFonts w:ascii="Calibri" w:eastAsia="Times New Roman" w:hAnsi="Calibri" w:cs="Calibri" w:hint="cs"/>
          <w:b/>
          <w:bCs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Arial" w:eastAsia="Times New Roman" w:hAnsi="Arial" w:cs="Arial" w:hint="cs"/>
          <w:b/>
          <w:bCs/>
          <w:kern w:val="0"/>
          <w:sz w:val="28"/>
          <w:szCs w:val="28"/>
          <w:rtl/>
          <w14:ligatures w14:val="none"/>
        </w:rPr>
        <w:t>……………………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.)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به خواسته تخلیه 3 باب مغازه ، به جهت تغییر شغل و تعدی و تفریط، که در مورخه 26/10/1401ساعت8 صبح، تعیین وقت رسیدگی گردیده،دلائل خود را ، در جهت رد ادعای خواهان ها، بشرح ذیل اعلام می دارد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.</w:t>
      </w:r>
    </w:p>
    <w:p w14:paraId="6105C2C2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شرح ما وقع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:</w:t>
      </w:r>
    </w:p>
    <w:p w14:paraId="350D6B09" w14:textId="77777777" w:rsidR="009D08D4" w:rsidRPr="009D08D4" w:rsidRDefault="009D08D4" w:rsidP="009D08D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خواهان ها،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مالک رسمی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ششدانگ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عرصه و اعیان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یک ملک دارای 6 باب مغازه بمساحت </w:t>
      </w:r>
      <w:r w:rsidRPr="009D08D4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………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متر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(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دارای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پلاک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ثبتی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فرعی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887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از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اصلی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655 )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واقع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در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شهر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زیبا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میباشند</w:t>
      </w:r>
    </w:p>
    <w:p w14:paraId="5ED01AF3" w14:textId="77777777" w:rsidR="009D08D4" w:rsidRPr="009D08D4" w:rsidRDefault="009D08D4" w:rsidP="009D08D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موکلین 3 سهم از 6 سهم حق سرقفلی و کسب و پیشه( از 6 باب مغازه) را از مالکین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با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توجه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احکام صادره، در باب تجویز انتقال منافع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،ابتیاع نموده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 xml:space="preserve"> .</w:t>
      </w:r>
    </w:p>
    <w:p w14:paraId="70A6BE95" w14:textId="77777777" w:rsidR="009D08D4" w:rsidRPr="009D08D4" w:rsidRDefault="009D08D4" w:rsidP="009D08D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نظر به آنکه موکلین بهمراه( آقای</w:t>
      </w:r>
      <w:r w:rsidRPr="009D08D4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………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}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مالک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منافع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این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6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باب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مغازه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(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بنحو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مشاعی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)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بوده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هیچگونه تقسیم نامه بین آنها تنظیم نگردیده</w:t>
      </w:r>
    </w:p>
    <w:p w14:paraId="47EA3FF5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و با توجه به قوانین موجود در باب املاک مشاعی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از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جمله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اینکه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،هر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یک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از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شرکاء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در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جزء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جزء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ملکی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مشاعی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شریک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بوده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 xml:space="preserve">( 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بعبارتی سهم شرکاء مقداری مشخص از کل ملک می‌باشد؛ بدون این‌که از نظر جغرافیایی، محدود و مشخص باشد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>)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بنظر می رسد 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خواهان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ها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میباست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دعوی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را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بطرفیت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 xml:space="preserve"> 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آقای </w:t>
      </w:r>
      <w:r w:rsidRPr="009D08D4">
        <w:rPr>
          <w:rFonts w:ascii="Arial" w:eastAsia="Times New Roman" w:hAnsi="Arial" w:cs="Arial" w:hint="cs"/>
          <w:b/>
          <w:bCs/>
          <w:kern w:val="0"/>
          <w:sz w:val="28"/>
          <w:szCs w:val="28"/>
          <w:u w:val="single"/>
          <w:rtl/>
          <w14:ligatures w14:val="none"/>
        </w:rPr>
        <w:t>……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نیز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مطرح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می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نمود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….</w:t>
      </w:r>
    </w:p>
    <w:p w14:paraId="00A46E27" w14:textId="77777777" w:rsidR="009D08D4" w:rsidRPr="009D08D4" w:rsidRDefault="009D08D4" w:rsidP="009D08D4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موکلین بموجب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احکام تجویز انتقال منافع صادره( پیوست )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،مبادرت به خرید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3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سهم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از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6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سهم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(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از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ششدانگ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6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باب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مغازه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)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از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آقای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عباس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علی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بیگی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خانم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بایگان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نموده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در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همین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راستا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سند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صلح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نامه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سرقفلی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حق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کسب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پیشه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اجاره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نامه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له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آنها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،تنظیم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شده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 xml:space="preserve"> .</w:t>
      </w:r>
    </w:p>
    <w:p w14:paraId="3F2280F8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lastRenderedPageBreak/>
        <w:t>حال در ما نحن فیه و به دلائل مشروحه در ذیل ، ادعای خواهان ها، مورد پذیرش نمی باشد چرا که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 xml:space="preserve"> …</w:t>
      </w:r>
    </w:p>
    <w:p w14:paraId="29BA89C8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الف.در باب تغییر شغل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:</w:t>
      </w:r>
    </w:p>
    <w:p w14:paraId="74447ADF" w14:textId="77777777" w:rsidR="009D08D4" w:rsidRPr="009D08D4" w:rsidRDefault="009D08D4" w:rsidP="009D08D4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موکلین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>بموجب تامین دلیل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u w:val="single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u w:val="single"/>
          <w:rtl/>
          <w14:ligatures w14:val="none"/>
        </w:rPr>
        <w:t>بعمل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u w:val="single"/>
          <w:rtl/>
          <w14:ligatures w14:val="none"/>
        </w:rPr>
        <w:t>آمده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 xml:space="preserve"> (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u w:val="single"/>
          <w:rtl/>
          <w14:ligatures w14:val="none"/>
        </w:rPr>
        <w:t>پیوست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 xml:space="preserve"> )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در شغل و رسته درود گری و نجاری از جمله، کابینت چوبی از نوع ام دی اف و هایگلاس و ابزار و یراق آلات( مرتبط با شغل درودگری )، فعالیت داشته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و هیچگونه تغییر شغلی نداده انند 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تامین دلیل</w:t>
      </w:r>
      <w:r w:rsidRPr="009D08D4">
        <w:rPr>
          <w:rFonts w:ascii="Calibri" w:eastAsia="Times New Roman" w:hAnsi="Calibri" w:cs="Calibri" w:hint="cs"/>
          <w:b/>
          <w:bCs/>
          <w:kern w:val="0"/>
          <w:sz w:val="28"/>
          <w:szCs w:val="28"/>
          <w:u w:val="single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تقدیمی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از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ناحیه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خواهان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ها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غیر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واقعی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موهوم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می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باشد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 xml:space="preserve"> .</w:t>
      </w:r>
    </w:p>
    <w:p w14:paraId="022AA637" w14:textId="77777777" w:rsidR="009D08D4" w:rsidRPr="009D08D4" w:rsidRDefault="009D08D4" w:rsidP="009D08D4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با توجه به قانون حفظ و حمایت از منابع طبیعی و ذخائر جنگلی مصوب 5/7/1370 ،وگرانی چوب درختان</w:t>
      </w:r>
    </w:p>
    <w:p w14:paraId="3937405B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مواد اولیه مورد استفاده نجارها از نوع چوب گردو و</w:t>
      </w:r>
      <w:r w:rsidRPr="009D08D4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…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شکل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نوین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آن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(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نوپان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ام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دی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اف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هایگلاس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)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تغییر یافته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> </w:t>
      </w:r>
    </w:p>
    <w:p w14:paraId="17ACBBA1" w14:textId="77777777" w:rsidR="009D08D4" w:rsidRPr="009D08D4" w:rsidRDefault="009D08D4" w:rsidP="009D08D4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ابزار و یراق آلات موجود در عین مستاجره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 xml:space="preserve"> …</w:t>
      </w:r>
    </w:p>
    <w:p w14:paraId="58A6CE6D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جزء لوازم و متعلقات مورد استفاده در</w:t>
      </w:r>
      <w:r w:rsidRPr="009D08D4">
        <w:rPr>
          <w:rFonts w:ascii="Calibri" w:eastAsia="Times New Roman" w:hAnsi="Calibri" w:cs="Calibri" w:hint="cs"/>
          <w:b/>
          <w:bCs/>
          <w:kern w:val="0"/>
          <w:sz w:val="28"/>
          <w:szCs w:val="28"/>
          <w:u w:val="single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شغل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نجاری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از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جمله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لولای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بکار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رفته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در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درب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کابینت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ها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Calibri" w:eastAsia="Times New Roman" w:hAnsi="Calibri" w:cs="Calibri" w:hint="cs"/>
          <w:b/>
          <w:bCs/>
          <w:kern w:val="0"/>
          <w:sz w:val="28"/>
          <w:szCs w:val="28"/>
          <w:u w:val="single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و</w:t>
      </w:r>
      <w:r w:rsidRPr="009D08D4">
        <w:rPr>
          <w:rFonts w:ascii="Arial" w:eastAsia="Times New Roman" w:hAnsi="Arial" w:cs="Arial" w:hint="cs"/>
          <w:b/>
          <w:bCs/>
          <w:kern w:val="0"/>
          <w:sz w:val="28"/>
          <w:szCs w:val="28"/>
          <w:u w:val="single"/>
          <w:rtl/>
          <w14:ligatures w14:val="none"/>
        </w:rPr>
        <w:t>……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میباشد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u w:val="single"/>
          <w:rtl/>
          <w14:ligatures w14:val="none"/>
        </w:rPr>
        <w:t> </w:t>
      </w:r>
    </w:p>
    <w:p w14:paraId="124A1B9E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و ادعای خواهان ها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مبنی بر</w:t>
      </w:r>
      <w:r w:rsidRPr="009D08D4">
        <w:rPr>
          <w:rFonts w:ascii="Calibri" w:eastAsia="Times New Roman" w:hAnsi="Calibri" w:cs="Calibri" w:hint="cs"/>
          <w:b/>
          <w:bCs/>
          <w:kern w:val="0"/>
          <w:sz w:val="28"/>
          <w:szCs w:val="28"/>
          <w:u w:val="single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فروش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ابزار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ویراق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آلات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عمومی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،بی اساس می باشد (تقاضای تحقیق و بررسی توسط کارشناس را دارد)</w:t>
      </w:r>
    </w:p>
    <w:p w14:paraId="40124514" w14:textId="77777777" w:rsidR="009D08D4" w:rsidRPr="009D08D4" w:rsidRDefault="009D08D4" w:rsidP="009D08D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بموجب دادنامه شماره 1960 مورخه 14/12/1378 شعبه 7 دادگاه عمومی</w:t>
      </w:r>
    </w:p>
    <w:p w14:paraId="17F0F173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موجر بعد از اتمام تعمیرات توسط مستاجر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>،مبادرت به تنظیم سند اجاره وی نموده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که این امر مبین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اذن در تعمیرات داخلی عین مستاجره می شود و تعدی و تفریط محرز نیست</w:t>
      </w:r>
    </w:p>
    <w:p w14:paraId="116B92CF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lastRenderedPageBreak/>
        <w:t>که در مانحن فیه بنظر می رسد موافقت مالکین با تجویز انتقال منافع مستاجرین قبلی که صراختا اذن بر انتقال در دادنامه پیوست داده انند ، دلالت بر رضایت آنها برشغل موجود و وضعیت ظاهری مغازه ها دارد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 xml:space="preserve"> .</w:t>
      </w:r>
    </w:p>
    <w:p w14:paraId="66EBD45B" w14:textId="77777777" w:rsidR="009D08D4" w:rsidRPr="009D08D4" w:rsidRDefault="009D08D4" w:rsidP="009D08D4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مرجع تشخیص مشاغل مشابه و غیر مشابه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،اتحادیه و مجامع امور صنفی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است که به عنوان مرجع خاص برای این امر ایجاد شده( تقاضای استعلام را دارد)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 xml:space="preserve"> .</w:t>
      </w:r>
    </w:p>
    <w:p w14:paraId="003E9A01" w14:textId="77777777" w:rsidR="009D08D4" w:rsidRPr="009D08D4" w:rsidRDefault="009D08D4" w:rsidP="009D08D4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اتحادیه صنف درود گران و مبلسازان دارای 17 رسته شغلی است که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مشاغلی از جمله کابینت سازی و فروشندگی مصنوعات چوبی ،درودگری و</w:t>
      </w:r>
      <w:r w:rsidRPr="009D08D4">
        <w:rPr>
          <w:rFonts w:ascii="Arial" w:eastAsia="Times New Roman" w:hAnsi="Arial" w:cs="Arial" w:hint="cs"/>
          <w:b/>
          <w:bCs/>
          <w:kern w:val="0"/>
          <w:sz w:val="28"/>
          <w:szCs w:val="28"/>
          <w:u w:val="single"/>
          <w:rtl/>
          <w14:ligatures w14:val="none"/>
        </w:rPr>
        <w:t>…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جزء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زیر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مجموعه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اتحادیه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ای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مربوطه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است</w:t>
      </w:r>
    </w:p>
    <w:p w14:paraId="7CA6BDE6" w14:textId="77777777" w:rsidR="009D08D4" w:rsidRPr="009D08D4" w:rsidRDefault="009D08D4" w:rsidP="009D08D4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بموجب رای شماره 26 مورخه 8/7/91 شعبه 51 دادگاه تجدید نظر استان تهران</w:t>
      </w:r>
    </w:p>
    <w:p w14:paraId="23D020D6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برابر قاعده حقوقی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اذن در شئی، اذن در لوزام آن است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بنابراین نصب تجهیزاتی که بدون آنها ادامه کار را ،برای مستاجر با مشکل مواجه کند از مصادیق تعدی در مورد اجاره نیست</w:t>
      </w:r>
    </w:p>
    <w:p w14:paraId="02887269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نتیجه : ادامه و استمرار کار نجاری موکلین،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>بدون ابراز و یراق آلات مرتبط با آن ، میسور نیست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چرا که موکلین هر بار نمی توانند ،برای خرید ابزار و یراق آلات مرتبط با کار خود ، به بازار مراجعه کنند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.</w:t>
      </w:r>
    </w:p>
    <w:p w14:paraId="4799D041" w14:textId="77777777" w:rsidR="009D08D4" w:rsidRPr="009D08D4" w:rsidRDefault="009D08D4" w:rsidP="009D08D4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مغازه ها در سابق ( قبل از ابتیاع موکلین )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به دلایل مندرج در ذیل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،به همین شغل مشغول بکار بوده انند</w:t>
      </w:r>
    </w:p>
    <w:p w14:paraId="72D72A99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>هیچ گونه تغییر فیزیکی و ظاهری که دلالت بر تعدی و تفریط نماید در آن صورت نگرفته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و بعبارتی مالکین رضایت بر این امور داشته انند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.</w:t>
      </w:r>
    </w:p>
    <w:p w14:paraId="438A3062" w14:textId="77777777" w:rsidR="009D08D4" w:rsidRPr="009D08D4" w:rsidRDefault="009D08D4" w:rsidP="009D08D4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شهادت همسایگان ومطلعین محلی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،تقاضای صدور قرار استماع شهادت شهود را دارد ( استشهادیه پیوست )</w:t>
      </w:r>
    </w:p>
    <w:p w14:paraId="276F02BC" w14:textId="77777777" w:rsidR="009D08D4" w:rsidRPr="009D08D4" w:rsidRDefault="009D08D4" w:rsidP="009D08D4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بموجب گواهی اداره مالیات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(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پیوست)سالیان متمادی است که شغل معنونه ،در عین مستاجره مورد استفاده بوده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.</w:t>
      </w:r>
    </w:p>
    <w:p w14:paraId="68C8A5AF" w14:textId="77777777" w:rsidR="009D08D4" w:rsidRPr="009D08D4" w:rsidRDefault="009D08D4" w:rsidP="009D08D4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lastRenderedPageBreak/>
        <w:t>نظرات کارشناسان متعدد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 xml:space="preserve"> …</w:t>
      </w:r>
    </w:p>
    <w:p w14:paraId="74891E09" w14:textId="77777777" w:rsidR="009D08D4" w:rsidRPr="009D08D4" w:rsidRDefault="009D08D4" w:rsidP="009D08D4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proofErr w:type="gramStart"/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.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نظریه</w:t>
      </w:r>
      <w:proofErr w:type="gramEnd"/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کاشناس دادگستری آقای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مهندس عزیز خلیل آباد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در پرونده کلاسه 9900201 شعبه 213 مغازه دارای کابینت و کمد دیواری و تابلو و پارتیشن و..می باشد</w:t>
      </w:r>
    </w:p>
    <w:p w14:paraId="4B523BF3" w14:textId="77777777" w:rsidR="009D08D4" w:rsidRPr="009D08D4" w:rsidRDefault="009D08D4" w:rsidP="009D08D4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proofErr w:type="gramStart"/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.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مهندس</w:t>
      </w:r>
      <w:proofErr w:type="gramEnd"/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 xml:space="preserve"> علی فرجی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در پرونده کلاسه 941010 شعبه 216 قید شده مغازه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دارای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پارتیشن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کابینت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کمد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دیواری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باشد</w:t>
      </w:r>
    </w:p>
    <w:p w14:paraId="2CD2BCB5" w14:textId="77777777" w:rsidR="009D08D4" w:rsidRPr="009D08D4" w:rsidRDefault="009D08D4" w:rsidP="009D08D4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proofErr w:type="gramStart"/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.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بموجب</w:t>
      </w:r>
      <w:proofErr w:type="gramEnd"/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گزارش هیات کارشناسی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در شعبه 216 دادگاه مفتح صراحتا قید شده مغازه دارای تابلوی پارتیشن و کابینت و کمد دیواری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باشد</w:t>
      </w:r>
    </w:p>
    <w:p w14:paraId="2B9E4705" w14:textId="77777777" w:rsidR="009D08D4" w:rsidRPr="009D08D4" w:rsidRDefault="009D08D4" w:rsidP="009D08D4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proofErr w:type="gramStart"/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.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بر</w:t>
      </w:r>
      <w:proofErr w:type="gramEnd"/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اساس برگه تشخیص مالیات( سال )97 مالیات ملک بر اساس شغل کابینت و یراق آلات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پرداخت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شده</w:t>
      </w:r>
    </w:p>
    <w:p w14:paraId="7217476E" w14:textId="77777777" w:rsidR="009D08D4" w:rsidRPr="009D08D4" w:rsidRDefault="009D08D4" w:rsidP="009D08D4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proofErr w:type="gramStart"/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.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از</w:t>
      </w:r>
      <w:proofErr w:type="gramEnd"/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طرفی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>گذشت سالیان متمادی از شغل مورد استفاده،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گواه بر رضایت مالکین بر شغل مورد استفاده دارد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</w:p>
    <w:p w14:paraId="021C4525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دادنامه شماره 327 مورخه6/3/1378 شعبه 513 دادگاه عمومی</w:t>
      </w:r>
    </w:p>
    <w:p w14:paraId="11954B6D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در خصوص تغییر شغل ( مستاجر) با عنایت به اینکه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از زمان تغییر شغل تاکنون سالهای متمادی گذشته است که حکایت از موافقت ضمنی مالکین با شغل جدید دارد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و ملاحظه محل کار و در سالهای متمادی رضایت و توافق ضمنی مالکین را اثبات می کند علی هذا دعوی خواهان را غیر وارد و رای به رد آن صادر و اعلام می دارد</w:t>
      </w:r>
    </w:p>
    <w:p w14:paraId="277B43CF" w14:textId="77777777" w:rsidR="009D08D4" w:rsidRPr="009D08D4" w:rsidRDefault="009D08D4" w:rsidP="009D08D4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تبدیل شغل کارگاه نجاری همزمان با</w:t>
      </w:r>
      <w:r w:rsidRPr="009D08D4">
        <w:rPr>
          <w:rFonts w:ascii="Calibri" w:eastAsia="Times New Roman" w:hAnsi="Calibri" w:cs="Calibri" w:hint="cs"/>
          <w:b/>
          <w:bCs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rtl/>
          <w14:ligatures w14:val="none"/>
        </w:rPr>
        <w:t>فروشندگی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rtl/>
          <w14:ligatures w14:val="none"/>
        </w:rPr>
        <w:t>آن</w:t>
      </w:r>
      <w:r w:rsidRPr="009D08D4">
        <w:rPr>
          <w:rFonts w:ascii="Calibri" w:eastAsia="Times New Roman" w:hAnsi="Calibri" w:cs="Calibri" w:hint="cs"/>
          <w:b/>
          <w:bCs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rtl/>
          <w14:ligatures w14:val="none"/>
        </w:rPr>
        <w:t>مصداق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rtl/>
          <w14:ligatures w14:val="none"/>
        </w:rPr>
        <w:t>تغییر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rtl/>
          <w14:ligatures w14:val="none"/>
        </w:rPr>
        <w:t>شغل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rtl/>
          <w14:ligatures w14:val="none"/>
        </w:rPr>
        <w:t>نیست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</w:p>
    <w:p w14:paraId="3EE510F3" w14:textId="77777777" w:rsidR="009D08D4" w:rsidRPr="009D08D4" w:rsidRDefault="009D08D4" w:rsidP="009D08D4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رای شماره 752 مورخه 9/7/91 شعبه 50 دادگاه تجدید نظر استان تهران</w:t>
      </w:r>
    </w:p>
    <w:p w14:paraId="74C80F51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شغل انبارداری لوازم یدکی اتومبیل و فروشندگی لوازم یدکی اتومبیل ،مشاغل مشابه</w:t>
      </w:r>
      <w:r w:rsidRPr="009D08D4">
        <w:rPr>
          <w:rFonts w:ascii="Calibri" w:eastAsia="Times New Roman" w:hAnsi="Calibri" w:cs="Calibri" w:hint="cs"/>
          <w:b/>
          <w:bCs/>
          <w:kern w:val="0"/>
          <w:sz w:val="28"/>
          <w:szCs w:val="28"/>
          <w:u w:val="single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هستند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و لذا از تغییر از انبارداری به فروشندگی لوازم یدکی اتومبیل تغییر شغل مستاجر محسوب نمی شود و موجبات تخلیه را فراهم نمی کند</w:t>
      </w:r>
    </w:p>
    <w:p w14:paraId="3A009CD9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ب:در باب تعدی و تفریط</w:t>
      </w:r>
    </w:p>
    <w:p w14:paraId="448E0593" w14:textId="77777777" w:rsidR="009D08D4" w:rsidRPr="009D08D4" w:rsidRDefault="009D08D4" w:rsidP="009D08D4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lastRenderedPageBreak/>
        <w:t>از آنجائیکه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درقسمت کوچکی از مغازه ها از</w:t>
      </w:r>
      <w:r w:rsidRPr="009D08D4">
        <w:rPr>
          <w:rFonts w:ascii="Calibri" w:eastAsia="Times New Roman" w:hAnsi="Calibri" w:cs="Calibri" w:hint="cs"/>
          <w:b/>
          <w:bCs/>
          <w:kern w:val="0"/>
          <w:sz w:val="28"/>
          <w:szCs w:val="28"/>
          <w:u w:val="single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پارتیشن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درب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چوبی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(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بمنظور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بهره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وری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بهتر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)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استفاده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b/>
          <w:bCs/>
          <w:kern w:val="0"/>
          <w:sz w:val="28"/>
          <w:szCs w:val="28"/>
          <w:u w:val="single"/>
          <w:rtl/>
          <w14:ligatures w14:val="none"/>
        </w:rPr>
        <w:t>شده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بنابراین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ادعای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خواهان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ها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مبنی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بر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تعدی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تفریط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از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جمله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جدا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سازی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مغازه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ها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…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غیر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واقعی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موهوم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بوده</w:t>
      </w:r>
    </w:p>
    <w:p w14:paraId="1778C2F4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چرا که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:rtl/>
          <w14:ligatures w14:val="none"/>
        </w:rPr>
        <w:t>موکلین از ابتدای تحویل و ابتیاع،مغازه ها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را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به همین شکل و شمایل ظاهری تحویل گرفته انند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که در این خصوص شهود وجود داشته که تقاضای صدور قرار استماع شهادت شهود را دارد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 xml:space="preserve"> .</w:t>
      </w:r>
    </w:p>
    <w:p w14:paraId="0EDBC95C" w14:textId="77777777" w:rsidR="009D08D4" w:rsidRPr="009D08D4" w:rsidRDefault="009D08D4" w:rsidP="009D08D4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نظریه استاد بهمن کشاورز در باب تعدی و تفریط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14:ligatures w14:val="none"/>
        </w:rPr>
        <w:t xml:space="preserve"> :</w:t>
      </w:r>
    </w:p>
    <w:p w14:paraId="20C8832C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ایجاد تقسیمات جدید در عین مستاجره با مصالح سبک ،تبدیل درها و پنجره های چوبی به آلومینیومی ،تبدیل آجرهای کف به سنگ و موزائیک وحتی دستشئویی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در عین مستاجره علی الاصول تعدی و تفریط نیست</w:t>
      </w:r>
    </w:p>
    <w:p w14:paraId="475D0407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اما احداث زیر زمین برای مورد مستاجره ،اضافه کردن اتاق در حیاط یا پشت بام عین مستاجره ،احداث دیوار با مصالح سنگین به نحوی که پایه ها و تیر های حمال ساختمان فشار غیر متعارف وارد کند تعدی و تفریط است</w:t>
      </w:r>
    </w:p>
    <w:p w14:paraId="5670609A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u w:val="single"/>
          <w14:ligatures w14:val="none"/>
        </w:rPr>
        <w:t>(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کشاورز ،1394،ص </w:t>
      </w:r>
      <w:proofErr w:type="gramStart"/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27 )</w:t>
      </w:r>
      <w:proofErr w:type="gramEnd"/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 سرقفلی و حق کسب و پیشه در حقوق ایران وفقه اسلام</w:t>
      </w:r>
    </w:p>
    <w:p w14:paraId="3036C88A" w14:textId="77777777" w:rsidR="009D08D4" w:rsidRPr="009D08D4" w:rsidRDefault="009D08D4" w:rsidP="009D08D4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rtl/>
          <w14:ligatures w14:val="none"/>
        </w:rPr>
        <w:t>دادنامه شماره 276 مورخه 8/04/1373 شعبه 44 دادگاه حقوقی دو تهران</w:t>
      </w:r>
    </w:p>
    <w:p w14:paraId="40B832BF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تغییراتی که در عین مستاجره که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u w:val="single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>موجب پایین آمدن مقاومت و استحکام و دوام بناء و کاهش ارزش مورد اجاره شود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u w:val="single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از مصادیق تعدی و تفریط محسوب خواهد شد</w:t>
      </w:r>
    </w:p>
    <w:p w14:paraId="757F9057" w14:textId="77777777" w:rsidR="009D08D4" w:rsidRPr="009D08D4" w:rsidRDefault="009D08D4" w:rsidP="009D08D4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دادنامه شماره 9309970222500805 مورخه 29/6/1393 شعبه 25 تجدید نظر</w:t>
      </w:r>
    </w:p>
    <w:p w14:paraId="39D15A55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مقصود از تعدی و تفریط مستوجب حکم تخلیه عین مستاجره در قانون روابط موجر و مستاجره مصوب 1356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t xml:space="preserve">آن دسته اقداماتی است که به اساس بناو سازه مهندسی عین مستاجره </w:t>
      </w:r>
      <w:r w:rsidRPr="009D08D4">
        <w:rPr>
          <w:rFonts w:ascii="Times New Roman" w:eastAsia="Times New Roman" w:hAnsi="Times New Roman" w:cs="B Traffic"/>
          <w:b/>
          <w:bCs/>
          <w:kern w:val="0"/>
          <w:sz w:val="28"/>
          <w:szCs w:val="28"/>
          <w:u w:val="single"/>
          <w:rtl/>
          <w14:ligatures w14:val="none"/>
        </w:rPr>
        <w:lastRenderedPageBreak/>
        <w:t>لطمه و صدمه اساسی وارد آورده و خارج از اذن حدود اذن موجر باشد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بنابراین</w:t>
      </w:r>
      <w:r w:rsidRPr="009D08D4">
        <w:rPr>
          <w:rFonts w:ascii="Calibri" w:eastAsia="Times New Roman" w:hAnsi="Calibri" w:cs="Calibri" w:hint="cs"/>
          <w:kern w:val="0"/>
          <w:sz w:val="28"/>
          <w:szCs w:val="28"/>
          <w:rtl/>
          <w14:ligatures w14:val="none"/>
        </w:rPr>
        <w:t> 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ارتکاب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اعمال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رفتار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ناشایست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نامشروع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تعدی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و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تفریط</w:t>
      </w: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 xml:space="preserve"> </w:t>
      </w:r>
      <w:r w:rsidRPr="009D08D4">
        <w:rPr>
          <w:rFonts w:ascii="Times New Roman" w:eastAsia="Times New Roman" w:hAnsi="Times New Roman" w:cs="B Traffic" w:hint="cs"/>
          <w:kern w:val="0"/>
          <w:sz w:val="28"/>
          <w:szCs w:val="28"/>
          <w:rtl/>
          <w14:ligatures w14:val="none"/>
        </w:rPr>
        <w:t>نیست</w:t>
      </w:r>
    </w:p>
    <w:p w14:paraId="2F834B1E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علیهذا با توجه به شرح ماوقع استدعای رسیدگی و صدور حکم شایسته را دارد</w:t>
      </w:r>
    </w:p>
    <w:p w14:paraId="5AE58860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داود چشمی</w:t>
      </w:r>
    </w:p>
    <w:p w14:paraId="32ADB9D8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وکیل خواندگان</w:t>
      </w:r>
    </w:p>
    <w:p w14:paraId="4DBF6DAF" w14:textId="77777777" w:rsidR="009D08D4" w:rsidRPr="009D08D4" w:rsidRDefault="009D08D4" w:rsidP="009D08D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kern w:val="0"/>
          <w:sz w:val="28"/>
          <w:szCs w:val="28"/>
          <w14:ligatures w14:val="none"/>
        </w:rPr>
      </w:pPr>
      <w:r w:rsidRPr="009D08D4">
        <w:rPr>
          <w:rFonts w:ascii="Times New Roman" w:eastAsia="Times New Roman" w:hAnsi="Times New Roman" w:cs="B Traffic"/>
          <w:kern w:val="0"/>
          <w:sz w:val="28"/>
          <w:szCs w:val="28"/>
          <w:rtl/>
          <w14:ligatures w14:val="none"/>
        </w:rPr>
        <w:t>با تشکر و امتنان</w:t>
      </w:r>
    </w:p>
    <w:p w14:paraId="0610D36C" w14:textId="77777777" w:rsidR="00DB0349" w:rsidRPr="009D08D4" w:rsidRDefault="00DB0349" w:rsidP="009D08D4">
      <w:pPr>
        <w:bidi/>
        <w:rPr>
          <w:rFonts w:cs="B Traffic"/>
          <w:sz w:val="28"/>
          <w:szCs w:val="28"/>
        </w:rPr>
      </w:pPr>
    </w:p>
    <w:sectPr w:rsidR="00DB0349" w:rsidRPr="009D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2CDD"/>
    <w:multiLevelType w:val="multilevel"/>
    <w:tmpl w:val="B40E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5F4"/>
    <w:multiLevelType w:val="multilevel"/>
    <w:tmpl w:val="1464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A4797"/>
    <w:multiLevelType w:val="multilevel"/>
    <w:tmpl w:val="81A2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00188"/>
    <w:multiLevelType w:val="multilevel"/>
    <w:tmpl w:val="DED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04B33"/>
    <w:multiLevelType w:val="multilevel"/>
    <w:tmpl w:val="6C6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67532"/>
    <w:multiLevelType w:val="multilevel"/>
    <w:tmpl w:val="865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63FA7"/>
    <w:multiLevelType w:val="multilevel"/>
    <w:tmpl w:val="49F0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64930"/>
    <w:multiLevelType w:val="multilevel"/>
    <w:tmpl w:val="EC5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15AAC"/>
    <w:multiLevelType w:val="multilevel"/>
    <w:tmpl w:val="9F00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B3250"/>
    <w:multiLevelType w:val="multilevel"/>
    <w:tmpl w:val="E63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36F2D"/>
    <w:multiLevelType w:val="multilevel"/>
    <w:tmpl w:val="E0B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406D4"/>
    <w:multiLevelType w:val="multilevel"/>
    <w:tmpl w:val="3DC0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A6A38"/>
    <w:multiLevelType w:val="multilevel"/>
    <w:tmpl w:val="7C0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1444494">
    <w:abstractNumId w:val="0"/>
  </w:num>
  <w:num w:numId="2" w16cid:durableId="290020033">
    <w:abstractNumId w:val="1"/>
  </w:num>
  <w:num w:numId="3" w16cid:durableId="433481093">
    <w:abstractNumId w:val="8"/>
  </w:num>
  <w:num w:numId="4" w16cid:durableId="562105621">
    <w:abstractNumId w:val="11"/>
  </w:num>
  <w:num w:numId="5" w16cid:durableId="765539485">
    <w:abstractNumId w:val="2"/>
  </w:num>
  <w:num w:numId="6" w16cid:durableId="337738081">
    <w:abstractNumId w:val="4"/>
  </w:num>
  <w:num w:numId="7" w16cid:durableId="331685837">
    <w:abstractNumId w:val="6"/>
  </w:num>
  <w:num w:numId="8" w16cid:durableId="1922595831">
    <w:abstractNumId w:val="5"/>
  </w:num>
  <w:num w:numId="9" w16cid:durableId="231618932">
    <w:abstractNumId w:val="3"/>
  </w:num>
  <w:num w:numId="10" w16cid:durableId="1906723563">
    <w:abstractNumId w:val="7"/>
  </w:num>
  <w:num w:numId="11" w16cid:durableId="687676817">
    <w:abstractNumId w:val="10"/>
  </w:num>
  <w:num w:numId="12" w16cid:durableId="1769036665">
    <w:abstractNumId w:val="9"/>
  </w:num>
  <w:num w:numId="13" w16cid:durableId="316039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D4"/>
    <w:rsid w:val="009D08D4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AA3F"/>
  <w15:chartTrackingRefBased/>
  <w15:docId w15:val="{6F6E70E5-2C5F-4815-ADE0-C0935AD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0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8D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D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D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2024-05-07T07:46:00Z</dcterms:created>
  <dcterms:modified xsi:type="dcterms:W3CDTF">2024-05-07T07:47:00Z</dcterms:modified>
</cp:coreProperties>
</file>